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369C" w:rsidRPr="001177A4" w:rsidRDefault="00E16D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r>
        <w:rPr>
          <w:rFonts w:ascii="Times New Roman" w:hAnsi="Times New Roman" w:cs="Times New Roman"/>
          <w:sz w:val="24"/>
          <w:szCs w:val="24"/>
        </w:rPr>
        <w:t>The extent of implementing Government safety standards policy in Secondary Schools, Kenya.</w:t>
      </w:r>
      <w:bookmarkEnd w:id="0"/>
    </w:p>
    <w:sectPr w:rsidR="0086369C" w:rsidRPr="001177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D90"/>
    <w:rsid w:val="000066F5"/>
    <w:rsid w:val="001177A4"/>
    <w:rsid w:val="0086369C"/>
    <w:rsid w:val="00B52D90"/>
    <w:rsid w:val="00E16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BF4D5E"/>
  <w15:chartTrackingRefBased/>
  <w15:docId w15:val="{928E82F1-4D66-422A-B961-A82A98312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2018-01-12T13:59:00Z</cp:lastPrinted>
  <dcterms:created xsi:type="dcterms:W3CDTF">2018-01-12T05:55:00Z</dcterms:created>
  <dcterms:modified xsi:type="dcterms:W3CDTF">2018-01-12T14:04:00Z</dcterms:modified>
</cp:coreProperties>
</file>