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27C5" w:rsidRDefault="007B6737">
      <w:r>
        <w:t>The serum antibody response in golden hamsters (</w:t>
      </w:r>
      <w:proofErr w:type="spellStart"/>
      <w:r>
        <w:t>Mesocricetus</w:t>
      </w:r>
      <w:proofErr w:type="spellEnd"/>
      <w:r>
        <w:t xml:space="preserve"> </w:t>
      </w:r>
      <w:proofErr w:type="spellStart"/>
      <w:r>
        <w:t>auratus</w:t>
      </w:r>
      <w:proofErr w:type="spellEnd"/>
      <w:r>
        <w:t xml:space="preserve">) infected with the intestinal </w:t>
      </w:r>
      <w:proofErr w:type="spellStart"/>
      <w:r>
        <w:t>trematode</w:t>
      </w:r>
      <w:proofErr w:type="spellEnd"/>
      <w:r>
        <w:t xml:space="preserve"> </w:t>
      </w:r>
      <w:proofErr w:type="spellStart"/>
      <w:r>
        <w:t>Echinostoma</w:t>
      </w:r>
      <w:proofErr w:type="spellEnd"/>
      <w:r>
        <w:t xml:space="preserve"> </w:t>
      </w:r>
      <w:proofErr w:type="spellStart"/>
      <w:r>
        <w:t>caproni</w:t>
      </w:r>
      <w:proofErr w:type="spellEnd"/>
      <w:r>
        <w:t xml:space="preserve"> was examined with ELISA, SDS-PAGE and Western blot, and IFAT techniques. All methods showed that the hamsters responded slowly but developed a clear positive </w:t>
      </w:r>
      <w:proofErr w:type="spellStart"/>
      <w:r>
        <w:t>humoral</w:t>
      </w:r>
      <w:proofErr w:type="spellEnd"/>
      <w:r>
        <w:t xml:space="preserve"> response to the infection. In most hamsters, an antibody response to infection could not be detected earlier than 11-13 weeks after infection with 6 or 25 </w:t>
      </w:r>
      <w:proofErr w:type="spellStart"/>
      <w:r>
        <w:t>metacercariae</w:t>
      </w:r>
      <w:proofErr w:type="spellEnd"/>
      <w:r>
        <w:t xml:space="preserve">, and responses were weak when compared to previous results from mice infected with the same parasite. IFAT with positive hamster sera on live juvenile E. </w:t>
      </w:r>
      <w:proofErr w:type="spellStart"/>
      <w:r>
        <w:t>caproni</w:t>
      </w:r>
      <w:proofErr w:type="spellEnd"/>
      <w:r>
        <w:t xml:space="preserve"> showed only fluorescence at the posterior tip, which is a different pattern from that seen using from infected mice, indicating a different response to antigens on the juvenile parasites by these two hosts. The results are discussed in relation to the limited </w:t>
      </w:r>
      <w:proofErr w:type="spellStart"/>
      <w:r>
        <w:t>selfcure</w:t>
      </w:r>
      <w:proofErr w:type="spellEnd"/>
      <w:r>
        <w:t xml:space="preserve"> and development of resistance which is observed in golden hamsters infected with E. </w:t>
      </w:r>
      <w:proofErr w:type="spellStart"/>
      <w:r>
        <w:t>caproni</w:t>
      </w:r>
      <w:proofErr w:type="spellEnd"/>
    </w:p>
    <w:sectPr w:rsidR="004F27C5" w:rsidSect="004F27C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B6737"/>
    <w:rsid w:val="004F27C5"/>
    <w:rsid w:val="007B67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27C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840</Characters>
  <Application>Microsoft Office Word</Application>
  <DocSecurity>0</DocSecurity>
  <Lines>7</Lines>
  <Paragraphs>1</Paragraphs>
  <ScaleCrop>false</ScaleCrop>
  <Company/>
  <LinksUpToDate>false</LinksUpToDate>
  <CharactersWithSpaces>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STUDENTS</dc:creator>
  <cp:lastModifiedBy>STUDENTS</cp:lastModifiedBy>
  <cp:revision>1</cp:revision>
  <dcterms:created xsi:type="dcterms:W3CDTF">2016-06-21T18:38:00Z</dcterms:created>
  <dcterms:modified xsi:type="dcterms:W3CDTF">2016-06-21T18:39:00Z</dcterms:modified>
</cp:coreProperties>
</file>